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3291" w14:textId="77777777" w:rsidR="00DD3A81" w:rsidRDefault="00DD3A81">
      <w:pPr>
        <w:ind w:left="0" w:hanging="2"/>
      </w:pPr>
    </w:p>
    <w:p w14:paraId="4751D046" w14:textId="77777777" w:rsidR="00DD3A81" w:rsidRDefault="00000000">
      <w:pPr>
        <w:pStyle w:val="Heading2"/>
        <w:spacing w:before="0" w:after="0"/>
        <w:ind w:left="1" w:hanging="3"/>
        <w:jc w:val="center"/>
        <w:rPr>
          <w:i w:val="0"/>
          <w:sz w:val="32"/>
          <w:szCs w:val="32"/>
        </w:rPr>
      </w:pPr>
      <w:r>
        <w:rPr>
          <w:i w:val="0"/>
          <w:sz w:val="32"/>
          <w:szCs w:val="32"/>
        </w:rPr>
        <w:t>BSGCT Undergraduate Research Bursaries</w:t>
      </w:r>
    </w:p>
    <w:p w14:paraId="28AFE0FA" w14:textId="77777777" w:rsidR="00DD3A81" w:rsidRDefault="00000000">
      <w:pPr>
        <w:pStyle w:val="Heading2"/>
        <w:spacing w:before="0" w:after="0"/>
        <w:ind w:left="1" w:hanging="3"/>
        <w:jc w:val="center"/>
        <w:rPr>
          <w:i w:val="0"/>
          <w:sz w:val="32"/>
          <w:szCs w:val="32"/>
        </w:rPr>
      </w:pPr>
      <w:r>
        <w:rPr>
          <w:i w:val="0"/>
          <w:sz w:val="32"/>
          <w:szCs w:val="32"/>
        </w:rPr>
        <w:t>Guidelines 2024</w:t>
      </w:r>
    </w:p>
    <w:p w14:paraId="7E569E99" w14:textId="77777777" w:rsidR="00DD3A81" w:rsidRDefault="00DD3A81">
      <w:pPr>
        <w:ind w:left="0" w:hanging="2"/>
        <w:jc w:val="both"/>
        <w:rPr>
          <w:rFonts w:ascii="Arial" w:eastAsia="Arial" w:hAnsi="Arial" w:cs="Arial"/>
          <w:sz w:val="22"/>
          <w:szCs w:val="22"/>
        </w:rPr>
      </w:pPr>
    </w:p>
    <w:p w14:paraId="5C0F543C" w14:textId="77777777" w:rsidR="00DD3A81" w:rsidRDefault="00DD3A81">
      <w:pPr>
        <w:ind w:left="0" w:hanging="2"/>
        <w:jc w:val="both"/>
        <w:rPr>
          <w:rFonts w:ascii="Arial" w:eastAsia="Arial" w:hAnsi="Arial" w:cs="Arial"/>
          <w:sz w:val="22"/>
          <w:szCs w:val="22"/>
        </w:rPr>
      </w:pPr>
    </w:p>
    <w:p w14:paraId="531F56FD" w14:textId="77777777" w:rsidR="00DD3A81" w:rsidRDefault="00000000">
      <w:pPr>
        <w:ind w:left="0" w:hanging="2"/>
        <w:jc w:val="both"/>
        <w:rPr>
          <w:rFonts w:ascii="Arial" w:eastAsia="Arial" w:hAnsi="Arial" w:cs="Arial"/>
          <w:sz w:val="22"/>
          <w:szCs w:val="22"/>
        </w:rPr>
      </w:pPr>
      <w:r>
        <w:rPr>
          <w:rFonts w:ascii="Arial" w:eastAsia="Arial" w:hAnsi="Arial" w:cs="Arial"/>
          <w:sz w:val="22"/>
          <w:szCs w:val="22"/>
        </w:rPr>
        <w:t xml:space="preserve">These guidelines describe the </w:t>
      </w:r>
      <w:r>
        <w:rPr>
          <w:rFonts w:ascii="Arial" w:eastAsia="Arial" w:hAnsi="Arial" w:cs="Arial"/>
          <w:b/>
          <w:sz w:val="22"/>
          <w:szCs w:val="22"/>
        </w:rPr>
        <w:t>BSGCT Undergraduate Research</w:t>
      </w:r>
      <w:r>
        <w:rPr>
          <w:rFonts w:ascii="Arial" w:eastAsia="Arial" w:hAnsi="Arial" w:cs="Arial"/>
          <w:sz w:val="22"/>
          <w:szCs w:val="22"/>
        </w:rPr>
        <w:t xml:space="preserve"> </w:t>
      </w:r>
      <w:r>
        <w:rPr>
          <w:rFonts w:ascii="Arial" w:eastAsia="Arial" w:hAnsi="Arial" w:cs="Arial"/>
          <w:b/>
          <w:sz w:val="22"/>
          <w:szCs w:val="22"/>
        </w:rPr>
        <w:t>Bursary Programme</w:t>
      </w:r>
      <w:r>
        <w:rPr>
          <w:rFonts w:ascii="Arial" w:eastAsia="Arial" w:hAnsi="Arial" w:cs="Arial"/>
          <w:sz w:val="22"/>
          <w:szCs w:val="22"/>
        </w:rPr>
        <w:t xml:space="preserve"> and are for the 2024 round only (</w:t>
      </w:r>
      <w:hyperlink r:id="rId8">
        <w:r>
          <w:rPr>
            <w:rFonts w:ascii="Arial" w:eastAsia="Arial" w:hAnsi="Arial" w:cs="Arial"/>
            <w:color w:val="0000FF"/>
            <w:sz w:val="22"/>
            <w:szCs w:val="22"/>
            <w:u w:val="single"/>
          </w:rPr>
          <w:t>https://www.bsgct.org/undergraduates</w:t>
        </w:r>
      </w:hyperlink>
      <w:r>
        <w:rPr>
          <w:rFonts w:ascii="Arial" w:eastAsia="Arial" w:hAnsi="Arial" w:cs="Arial"/>
          <w:sz w:val="22"/>
          <w:szCs w:val="22"/>
        </w:rPr>
        <w:t>).  Please read the website and these guidelines before making an enquiry or completing an application form.</w:t>
      </w:r>
    </w:p>
    <w:p w14:paraId="745915E7" w14:textId="77777777" w:rsidR="00DD3A81" w:rsidRDefault="00DD3A81">
      <w:pPr>
        <w:ind w:left="0" w:hanging="2"/>
        <w:jc w:val="both"/>
        <w:rPr>
          <w:rFonts w:ascii="Arial" w:eastAsia="Arial" w:hAnsi="Arial" w:cs="Arial"/>
          <w:sz w:val="22"/>
          <w:szCs w:val="22"/>
        </w:rPr>
      </w:pPr>
    </w:p>
    <w:p w14:paraId="18AA31A3" w14:textId="77777777" w:rsidR="00DD3A81" w:rsidRDefault="00000000">
      <w:pPr>
        <w:ind w:left="0" w:hanging="2"/>
        <w:jc w:val="both"/>
        <w:rPr>
          <w:rFonts w:ascii="Arial" w:eastAsia="Arial" w:hAnsi="Arial" w:cs="Arial"/>
          <w:sz w:val="22"/>
          <w:szCs w:val="22"/>
        </w:rPr>
      </w:pPr>
      <w:r>
        <w:rPr>
          <w:rFonts w:ascii="Arial" w:eastAsia="Arial" w:hAnsi="Arial" w:cs="Arial"/>
          <w:b/>
          <w:sz w:val="22"/>
          <w:szCs w:val="22"/>
        </w:rPr>
        <w:t>The closing date for receipt of applications is 5pm Thursday 25th April 2024.</w:t>
      </w:r>
    </w:p>
    <w:p w14:paraId="543EF149" w14:textId="77777777" w:rsidR="00DD3A81" w:rsidRDefault="00000000">
      <w:pPr>
        <w:pStyle w:val="Heading3"/>
        <w:ind w:left="1" w:hanging="3"/>
        <w:jc w:val="both"/>
      </w:pPr>
      <w:r>
        <w:t>Nature of Award</w:t>
      </w:r>
    </w:p>
    <w:p w14:paraId="0DBB6AC5" w14:textId="77777777" w:rsidR="00DD3A81" w:rsidRDefault="00000000">
      <w:pPr>
        <w:ind w:left="0" w:hanging="2"/>
        <w:jc w:val="both"/>
        <w:rPr>
          <w:rFonts w:ascii="Arial" w:eastAsia="Arial" w:hAnsi="Arial" w:cs="Arial"/>
          <w:sz w:val="22"/>
          <w:szCs w:val="22"/>
        </w:rPr>
      </w:pPr>
      <w:r>
        <w:rPr>
          <w:rFonts w:ascii="Arial" w:eastAsia="Arial" w:hAnsi="Arial" w:cs="Arial"/>
          <w:sz w:val="22"/>
          <w:szCs w:val="22"/>
        </w:rPr>
        <w:t xml:space="preserve">The purpose of the award is to give experience of research to undergraduates with research potential and to encourage them to consider a career in scientific research. The award provides support for the student at a rate of </w:t>
      </w:r>
      <w:r>
        <w:rPr>
          <w:rFonts w:ascii="Arial" w:eastAsia="Arial" w:hAnsi="Arial" w:cs="Arial"/>
          <w:b/>
          <w:sz w:val="22"/>
          <w:szCs w:val="22"/>
        </w:rPr>
        <w:t>£250 per week for a period of between 6 and 8 weeks.</w:t>
      </w:r>
      <w:r>
        <w:rPr>
          <w:rFonts w:ascii="Arial" w:eastAsia="Arial" w:hAnsi="Arial" w:cs="Arial"/>
          <w:sz w:val="22"/>
          <w:szCs w:val="22"/>
        </w:rPr>
        <w:t xml:space="preserve"> </w:t>
      </w:r>
    </w:p>
    <w:p w14:paraId="69FBB499" w14:textId="77777777" w:rsidR="00DD3A81" w:rsidRDefault="00DD3A81">
      <w:pPr>
        <w:ind w:left="0" w:hanging="2"/>
        <w:jc w:val="both"/>
        <w:rPr>
          <w:rFonts w:ascii="Arial" w:eastAsia="Arial" w:hAnsi="Arial" w:cs="Arial"/>
          <w:sz w:val="22"/>
          <w:szCs w:val="22"/>
        </w:rPr>
      </w:pPr>
    </w:p>
    <w:p w14:paraId="784C31C9" w14:textId="77777777" w:rsidR="00DD3A81" w:rsidRDefault="00000000">
      <w:pPr>
        <w:tabs>
          <w:tab w:val="left" w:pos="5772"/>
        </w:tabs>
        <w:ind w:left="1" w:hanging="3"/>
        <w:jc w:val="both"/>
        <w:rPr>
          <w:rFonts w:ascii="Arial" w:eastAsia="Arial" w:hAnsi="Arial" w:cs="Arial"/>
          <w:sz w:val="26"/>
          <w:szCs w:val="26"/>
        </w:rPr>
      </w:pPr>
      <w:r>
        <w:rPr>
          <w:rFonts w:ascii="Arial" w:eastAsia="Arial" w:hAnsi="Arial" w:cs="Arial"/>
          <w:b/>
          <w:sz w:val="26"/>
          <w:szCs w:val="26"/>
        </w:rPr>
        <w:t>Eligibility</w:t>
      </w:r>
      <w:r>
        <w:rPr>
          <w:rFonts w:ascii="Arial" w:eastAsia="Arial" w:hAnsi="Arial" w:cs="Arial"/>
          <w:b/>
          <w:sz w:val="26"/>
          <w:szCs w:val="26"/>
        </w:rPr>
        <w:tab/>
      </w:r>
    </w:p>
    <w:p w14:paraId="1E1EF4EA" w14:textId="77777777" w:rsidR="00DD3A81" w:rsidRDefault="00000000">
      <w:pPr>
        <w:numPr>
          <w:ilvl w:val="0"/>
          <w:numId w:val="2"/>
        </w:numPr>
        <w:spacing w:line="276" w:lineRule="auto"/>
        <w:ind w:left="0" w:hanging="2"/>
        <w:jc w:val="both"/>
        <w:rPr>
          <w:rFonts w:ascii="Arial" w:eastAsia="Arial" w:hAnsi="Arial" w:cs="Arial"/>
          <w:sz w:val="22"/>
          <w:szCs w:val="22"/>
        </w:rPr>
      </w:pPr>
      <w:r>
        <w:rPr>
          <w:rFonts w:ascii="Arial" w:eastAsia="Arial" w:hAnsi="Arial" w:cs="Arial"/>
          <w:sz w:val="22"/>
          <w:szCs w:val="22"/>
        </w:rPr>
        <w:t>Applications are made by researchers who are members of the British Society for Gene and Cell Therapy (BSGCT) on behalf of a named undergraduate student.</w:t>
      </w:r>
    </w:p>
    <w:p w14:paraId="24A68974" w14:textId="77777777" w:rsidR="00DD3A81" w:rsidRDefault="00000000">
      <w:pPr>
        <w:numPr>
          <w:ilvl w:val="0"/>
          <w:numId w:val="2"/>
        </w:numPr>
        <w:spacing w:line="276" w:lineRule="auto"/>
        <w:ind w:left="0" w:hanging="2"/>
        <w:jc w:val="both"/>
        <w:rPr>
          <w:rFonts w:ascii="Arial" w:eastAsia="Arial" w:hAnsi="Arial" w:cs="Arial"/>
          <w:sz w:val="22"/>
          <w:szCs w:val="22"/>
        </w:rPr>
      </w:pPr>
      <w:r>
        <w:rPr>
          <w:rFonts w:ascii="Arial" w:eastAsia="Arial" w:hAnsi="Arial" w:cs="Arial"/>
          <w:sz w:val="22"/>
          <w:szCs w:val="22"/>
        </w:rPr>
        <w:t xml:space="preserve">Researchers in the field of gene therapy at universities and research institutions within the UK are eligible to apply. </w:t>
      </w:r>
    </w:p>
    <w:p w14:paraId="23F3F5D1" w14:textId="77777777" w:rsidR="00DD3A81" w:rsidRDefault="00000000">
      <w:pPr>
        <w:numPr>
          <w:ilvl w:val="0"/>
          <w:numId w:val="2"/>
        </w:numPr>
        <w:spacing w:line="276" w:lineRule="auto"/>
        <w:ind w:left="0" w:hanging="2"/>
        <w:jc w:val="both"/>
        <w:rPr>
          <w:rFonts w:ascii="Arial" w:eastAsia="Arial" w:hAnsi="Arial" w:cs="Arial"/>
          <w:sz w:val="22"/>
          <w:szCs w:val="22"/>
        </w:rPr>
      </w:pPr>
      <w:r>
        <w:rPr>
          <w:rFonts w:ascii="Arial" w:eastAsia="Arial" w:hAnsi="Arial" w:cs="Arial"/>
          <w:sz w:val="22"/>
          <w:szCs w:val="22"/>
        </w:rPr>
        <w:t xml:space="preserve">Projects must be focused on gene and cell therapy. Subject areas include non-viral gene therapy, viral gene therapy, immunotherapy, monogenic and hereditary disease, stem cells, cancer and </w:t>
      </w:r>
      <w:proofErr w:type="spellStart"/>
      <w:r>
        <w:rPr>
          <w:rFonts w:ascii="Arial" w:eastAsia="Arial" w:hAnsi="Arial" w:cs="Arial"/>
          <w:sz w:val="22"/>
          <w:szCs w:val="22"/>
        </w:rPr>
        <w:t>oncolytics</w:t>
      </w:r>
      <w:proofErr w:type="spellEnd"/>
      <w:r>
        <w:rPr>
          <w:rFonts w:ascii="Arial" w:eastAsia="Arial" w:hAnsi="Arial" w:cs="Arial"/>
          <w:sz w:val="22"/>
          <w:szCs w:val="22"/>
        </w:rPr>
        <w:t xml:space="preserve">, cardiovascular/ocular disease and </w:t>
      </w:r>
      <w:proofErr w:type="spellStart"/>
      <w:r>
        <w:rPr>
          <w:rFonts w:ascii="Arial" w:eastAsia="Arial" w:hAnsi="Arial" w:cs="Arial"/>
          <w:sz w:val="22"/>
          <w:szCs w:val="22"/>
        </w:rPr>
        <w:t>vectorology</w:t>
      </w:r>
      <w:proofErr w:type="spellEnd"/>
      <w:r>
        <w:rPr>
          <w:rFonts w:ascii="Arial" w:eastAsia="Arial" w:hAnsi="Arial" w:cs="Arial"/>
          <w:sz w:val="22"/>
          <w:szCs w:val="22"/>
        </w:rPr>
        <w:t xml:space="preserve"> or genetic vaccines. </w:t>
      </w:r>
      <w:r>
        <w:rPr>
          <w:rFonts w:ascii="Arial" w:eastAsia="Arial" w:hAnsi="Arial" w:cs="Arial"/>
          <w:b/>
          <w:sz w:val="22"/>
          <w:szCs w:val="22"/>
        </w:rPr>
        <w:t xml:space="preserve">Postdoctoral researchers </w:t>
      </w:r>
      <w:r>
        <w:rPr>
          <w:rFonts w:ascii="Arial" w:eastAsia="Arial" w:hAnsi="Arial" w:cs="Arial"/>
          <w:sz w:val="22"/>
          <w:szCs w:val="22"/>
        </w:rPr>
        <w:t xml:space="preserve">and </w:t>
      </w:r>
      <w:r>
        <w:rPr>
          <w:rFonts w:ascii="Arial" w:eastAsia="Arial" w:hAnsi="Arial" w:cs="Arial"/>
          <w:b/>
          <w:sz w:val="22"/>
          <w:szCs w:val="22"/>
        </w:rPr>
        <w:t>new lecturers</w:t>
      </w:r>
      <w:r>
        <w:rPr>
          <w:rFonts w:ascii="Arial" w:eastAsia="Arial" w:hAnsi="Arial" w:cs="Arial"/>
          <w:sz w:val="22"/>
          <w:szCs w:val="22"/>
        </w:rPr>
        <w:t xml:space="preserve">, early in their careers are also encouraged to apply, and should note this on the application form. </w:t>
      </w:r>
    </w:p>
    <w:p w14:paraId="612A2220" w14:textId="77777777" w:rsidR="00DD3A81" w:rsidRDefault="00000000">
      <w:pPr>
        <w:numPr>
          <w:ilvl w:val="0"/>
          <w:numId w:val="2"/>
        </w:numPr>
        <w:spacing w:line="276" w:lineRule="auto"/>
        <w:ind w:left="0" w:hanging="2"/>
        <w:jc w:val="both"/>
        <w:rPr>
          <w:rFonts w:ascii="Arial" w:eastAsia="Arial" w:hAnsi="Arial" w:cs="Arial"/>
          <w:sz w:val="22"/>
          <w:szCs w:val="22"/>
        </w:rPr>
      </w:pPr>
      <w:r>
        <w:rPr>
          <w:rFonts w:ascii="Arial" w:eastAsia="Arial" w:hAnsi="Arial" w:cs="Arial"/>
          <w:sz w:val="22"/>
          <w:szCs w:val="22"/>
        </w:rPr>
        <w:t xml:space="preserve">Only </w:t>
      </w:r>
      <w:r>
        <w:rPr>
          <w:rFonts w:ascii="Arial" w:eastAsia="Arial" w:hAnsi="Arial" w:cs="Arial"/>
          <w:b/>
          <w:sz w:val="22"/>
          <w:szCs w:val="22"/>
        </w:rPr>
        <w:t>one</w:t>
      </w:r>
      <w:r>
        <w:rPr>
          <w:rFonts w:ascii="Arial" w:eastAsia="Arial" w:hAnsi="Arial" w:cs="Arial"/>
          <w:sz w:val="22"/>
          <w:szCs w:val="22"/>
        </w:rPr>
        <w:t xml:space="preserve"> application should be submitted by a supervisor. </w:t>
      </w:r>
    </w:p>
    <w:p w14:paraId="286BFF3E" w14:textId="77777777" w:rsidR="00DD3A81" w:rsidRDefault="00000000">
      <w:pPr>
        <w:numPr>
          <w:ilvl w:val="0"/>
          <w:numId w:val="2"/>
        </w:numPr>
        <w:spacing w:line="276" w:lineRule="auto"/>
        <w:ind w:left="0" w:hanging="2"/>
        <w:jc w:val="both"/>
        <w:rPr>
          <w:rFonts w:ascii="Arial" w:eastAsia="Arial" w:hAnsi="Arial" w:cs="Arial"/>
          <w:sz w:val="22"/>
          <w:szCs w:val="22"/>
        </w:rPr>
      </w:pPr>
      <w:r>
        <w:rPr>
          <w:rFonts w:ascii="Arial" w:eastAsia="Arial" w:hAnsi="Arial" w:cs="Arial"/>
          <w:sz w:val="22"/>
          <w:szCs w:val="22"/>
        </w:rPr>
        <w:t>Preference will be given to host supervisors who have not previously been awarded a BSGCT URB grant in previous rounds of the scheme.</w:t>
      </w:r>
    </w:p>
    <w:p w14:paraId="522BAA4A" w14:textId="77777777" w:rsidR="00DD3A81" w:rsidRDefault="00000000">
      <w:pPr>
        <w:numPr>
          <w:ilvl w:val="0"/>
          <w:numId w:val="2"/>
        </w:numPr>
        <w:spacing w:line="276" w:lineRule="auto"/>
        <w:ind w:left="0" w:hanging="2"/>
        <w:jc w:val="both"/>
        <w:rPr>
          <w:rFonts w:ascii="Arial" w:eastAsia="Arial" w:hAnsi="Arial" w:cs="Arial"/>
          <w:sz w:val="22"/>
          <w:szCs w:val="22"/>
        </w:rPr>
      </w:pPr>
      <w:r>
        <w:rPr>
          <w:rFonts w:ascii="Arial" w:eastAsia="Arial" w:hAnsi="Arial" w:cs="Arial"/>
          <w:sz w:val="22"/>
          <w:szCs w:val="22"/>
        </w:rPr>
        <w:t xml:space="preserve">Students will take up the award during the summer vacation in their penultimate </w:t>
      </w:r>
      <w:r>
        <w:rPr>
          <w:rFonts w:ascii="Arial" w:eastAsia="Arial" w:hAnsi="Arial" w:cs="Arial"/>
          <w:b/>
          <w:sz w:val="22"/>
          <w:szCs w:val="22"/>
        </w:rPr>
        <w:t>year (i.e. 2/3 or 3/4)</w:t>
      </w:r>
      <w:r>
        <w:rPr>
          <w:rFonts w:ascii="Arial" w:eastAsia="Arial" w:hAnsi="Arial" w:cs="Arial"/>
          <w:sz w:val="22"/>
          <w:szCs w:val="22"/>
        </w:rPr>
        <w:t xml:space="preserve"> of their degree. Applications on behalf of first- or final-year undergraduates, or graduates, will </w:t>
      </w:r>
      <w:r>
        <w:rPr>
          <w:rFonts w:ascii="Arial" w:eastAsia="Arial" w:hAnsi="Arial" w:cs="Arial"/>
          <w:b/>
          <w:sz w:val="22"/>
          <w:szCs w:val="22"/>
        </w:rPr>
        <w:t>not</w:t>
      </w:r>
      <w:r>
        <w:rPr>
          <w:rFonts w:ascii="Arial" w:eastAsia="Arial" w:hAnsi="Arial" w:cs="Arial"/>
          <w:sz w:val="22"/>
          <w:szCs w:val="22"/>
        </w:rPr>
        <w:t xml:space="preserve"> be considered. </w:t>
      </w:r>
    </w:p>
    <w:p w14:paraId="190E4052" w14:textId="77777777" w:rsidR="00DD3A81" w:rsidRDefault="00000000">
      <w:pPr>
        <w:numPr>
          <w:ilvl w:val="0"/>
          <w:numId w:val="2"/>
        </w:numPr>
        <w:spacing w:line="276" w:lineRule="auto"/>
        <w:ind w:left="0" w:hanging="2"/>
        <w:jc w:val="both"/>
        <w:rPr>
          <w:rFonts w:ascii="Arial" w:eastAsia="Arial" w:hAnsi="Arial" w:cs="Arial"/>
          <w:sz w:val="22"/>
          <w:szCs w:val="22"/>
        </w:rPr>
      </w:pPr>
      <w:r>
        <w:rPr>
          <w:rFonts w:ascii="Arial" w:eastAsia="Arial" w:hAnsi="Arial" w:cs="Arial"/>
          <w:b/>
          <w:sz w:val="22"/>
          <w:szCs w:val="22"/>
        </w:rPr>
        <w:t>Mature students</w:t>
      </w:r>
      <w:r>
        <w:rPr>
          <w:rFonts w:ascii="Arial" w:eastAsia="Arial" w:hAnsi="Arial" w:cs="Arial"/>
          <w:sz w:val="22"/>
          <w:szCs w:val="22"/>
        </w:rPr>
        <w:t xml:space="preserve"> are eligible to </w:t>
      </w:r>
      <w:proofErr w:type="gramStart"/>
      <w:r>
        <w:rPr>
          <w:rFonts w:ascii="Arial" w:eastAsia="Arial" w:hAnsi="Arial" w:cs="Arial"/>
          <w:sz w:val="22"/>
          <w:szCs w:val="22"/>
        </w:rPr>
        <w:t>apply, but</w:t>
      </w:r>
      <w:proofErr w:type="gramEnd"/>
      <w:r>
        <w:rPr>
          <w:rFonts w:ascii="Arial" w:eastAsia="Arial" w:hAnsi="Arial" w:cs="Arial"/>
          <w:sz w:val="22"/>
          <w:szCs w:val="22"/>
        </w:rPr>
        <w:t xml:space="preserve"> must not have a previous degree in any subject.</w:t>
      </w:r>
    </w:p>
    <w:p w14:paraId="52C639D1" w14:textId="77777777" w:rsidR="00DD3A81" w:rsidRDefault="00000000">
      <w:pPr>
        <w:numPr>
          <w:ilvl w:val="0"/>
          <w:numId w:val="2"/>
        </w:numPr>
        <w:spacing w:line="276" w:lineRule="auto"/>
        <w:ind w:left="0" w:hanging="2"/>
        <w:jc w:val="both"/>
        <w:rPr>
          <w:rFonts w:ascii="Arial" w:eastAsia="Arial" w:hAnsi="Arial" w:cs="Arial"/>
          <w:sz w:val="22"/>
          <w:szCs w:val="22"/>
        </w:rPr>
      </w:pPr>
      <w:r>
        <w:rPr>
          <w:rFonts w:ascii="Arial" w:eastAsia="Arial" w:hAnsi="Arial" w:cs="Arial"/>
          <w:sz w:val="22"/>
          <w:szCs w:val="22"/>
        </w:rPr>
        <w:t xml:space="preserve">Students must be registered at a </w:t>
      </w:r>
      <w:r>
        <w:rPr>
          <w:rFonts w:ascii="Arial" w:eastAsia="Arial" w:hAnsi="Arial" w:cs="Arial"/>
          <w:b/>
          <w:sz w:val="22"/>
          <w:szCs w:val="22"/>
        </w:rPr>
        <w:t>UK institution</w:t>
      </w:r>
      <w:r>
        <w:rPr>
          <w:rFonts w:ascii="Arial" w:eastAsia="Arial" w:hAnsi="Arial" w:cs="Arial"/>
          <w:sz w:val="22"/>
          <w:szCs w:val="22"/>
        </w:rPr>
        <w:t xml:space="preserve"> for </w:t>
      </w:r>
      <w:proofErr w:type="gramStart"/>
      <w:r>
        <w:rPr>
          <w:rFonts w:ascii="Arial" w:eastAsia="Arial" w:hAnsi="Arial" w:cs="Arial"/>
          <w:sz w:val="22"/>
          <w:szCs w:val="22"/>
        </w:rPr>
        <w:t>the majority of</w:t>
      </w:r>
      <w:proofErr w:type="gramEnd"/>
      <w:r>
        <w:rPr>
          <w:rFonts w:ascii="Arial" w:eastAsia="Arial" w:hAnsi="Arial" w:cs="Arial"/>
          <w:sz w:val="22"/>
          <w:szCs w:val="22"/>
        </w:rPr>
        <w:t xml:space="preserve"> their undergraduate science degree. </w:t>
      </w:r>
    </w:p>
    <w:p w14:paraId="19A4F154" w14:textId="77777777" w:rsidR="00DD3A81" w:rsidRDefault="00000000">
      <w:pPr>
        <w:numPr>
          <w:ilvl w:val="0"/>
          <w:numId w:val="2"/>
        </w:numPr>
        <w:spacing w:line="276" w:lineRule="auto"/>
        <w:ind w:left="0" w:hanging="2"/>
        <w:jc w:val="both"/>
        <w:rPr>
          <w:rFonts w:ascii="Arial" w:eastAsia="Arial" w:hAnsi="Arial" w:cs="Arial"/>
          <w:sz w:val="22"/>
          <w:szCs w:val="22"/>
        </w:rPr>
      </w:pPr>
      <w:r>
        <w:rPr>
          <w:rFonts w:ascii="Arial" w:eastAsia="Arial" w:hAnsi="Arial" w:cs="Arial"/>
          <w:sz w:val="22"/>
          <w:szCs w:val="22"/>
        </w:rPr>
        <w:t xml:space="preserve">Bursaries will not be awarded for projects that are a </w:t>
      </w:r>
      <w:r>
        <w:rPr>
          <w:rFonts w:ascii="Arial" w:eastAsia="Arial" w:hAnsi="Arial" w:cs="Arial"/>
          <w:b/>
          <w:sz w:val="22"/>
          <w:szCs w:val="22"/>
        </w:rPr>
        <w:t>part of degree work</w:t>
      </w:r>
      <w:r>
        <w:rPr>
          <w:rFonts w:ascii="Arial" w:eastAsia="Arial" w:hAnsi="Arial" w:cs="Arial"/>
          <w:sz w:val="22"/>
          <w:szCs w:val="22"/>
        </w:rPr>
        <w:t xml:space="preserve"> or for work which will take place overseas.</w:t>
      </w:r>
    </w:p>
    <w:p w14:paraId="67CAD44B" w14:textId="77777777" w:rsidR="00DD3A81" w:rsidRDefault="00DD3A81">
      <w:pPr>
        <w:spacing w:line="276" w:lineRule="auto"/>
        <w:ind w:left="0" w:hanging="2"/>
        <w:jc w:val="both"/>
        <w:rPr>
          <w:rFonts w:ascii="Arial" w:eastAsia="Arial" w:hAnsi="Arial" w:cs="Arial"/>
          <w:sz w:val="22"/>
          <w:szCs w:val="22"/>
        </w:rPr>
      </w:pPr>
    </w:p>
    <w:p w14:paraId="6B3F2499" w14:textId="77777777" w:rsidR="00DD3A81" w:rsidRDefault="00DD3A81">
      <w:pPr>
        <w:spacing w:line="276" w:lineRule="auto"/>
        <w:ind w:left="0" w:hanging="2"/>
        <w:jc w:val="both"/>
        <w:rPr>
          <w:rFonts w:ascii="Arial" w:eastAsia="Arial" w:hAnsi="Arial" w:cs="Arial"/>
          <w:sz w:val="22"/>
          <w:szCs w:val="22"/>
        </w:rPr>
      </w:pPr>
    </w:p>
    <w:p w14:paraId="706BFC3D" w14:textId="77777777" w:rsidR="00DD3A81" w:rsidRDefault="00DD3A81">
      <w:pPr>
        <w:ind w:left="1" w:hanging="3"/>
        <w:jc w:val="both"/>
        <w:rPr>
          <w:rFonts w:ascii="Arial" w:eastAsia="Arial" w:hAnsi="Arial" w:cs="Arial"/>
          <w:sz w:val="26"/>
          <w:szCs w:val="26"/>
        </w:rPr>
      </w:pPr>
    </w:p>
    <w:p w14:paraId="79B89755" w14:textId="77777777" w:rsidR="00DD3A81" w:rsidRDefault="00000000">
      <w:pPr>
        <w:ind w:left="1" w:hanging="3"/>
        <w:jc w:val="both"/>
        <w:rPr>
          <w:rFonts w:ascii="Arial" w:eastAsia="Arial" w:hAnsi="Arial" w:cs="Arial"/>
          <w:sz w:val="26"/>
          <w:szCs w:val="26"/>
        </w:rPr>
      </w:pPr>
      <w:r>
        <w:rPr>
          <w:rFonts w:ascii="Arial" w:eastAsia="Arial" w:hAnsi="Arial" w:cs="Arial"/>
          <w:b/>
          <w:sz w:val="26"/>
          <w:szCs w:val="26"/>
        </w:rPr>
        <w:t>Adjudication</w:t>
      </w:r>
    </w:p>
    <w:p w14:paraId="39929CBA" w14:textId="77777777" w:rsidR="00DD3A81" w:rsidRDefault="00000000">
      <w:pPr>
        <w:spacing w:after="120"/>
        <w:ind w:left="0" w:hanging="2"/>
        <w:jc w:val="both"/>
        <w:rPr>
          <w:rFonts w:ascii="Arial" w:eastAsia="Arial" w:hAnsi="Arial" w:cs="Arial"/>
          <w:sz w:val="22"/>
          <w:szCs w:val="22"/>
        </w:rPr>
      </w:pPr>
      <w:r>
        <w:rPr>
          <w:rFonts w:ascii="Arial" w:eastAsia="Arial" w:hAnsi="Arial" w:cs="Arial"/>
          <w:sz w:val="22"/>
          <w:szCs w:val="22"/>
        </w:rPr>
        <w:t>Adjudication will be advised by independent expert referees, selected by the BSGCT board.</w:t>
      </w:r>
      <w:r>
        <w:rPr>
          <w:rFonts w:ascii="Arial" w:eastAsia="Arial" w:hAnsi="Arial" w:cs="Arial"/>
          <w:color w:val="000080"/>
          <w:sz w:val="20"/>
          <w:szCs w:val="20"/>
        </w:rPr>
        <w:t xml:space="preserve"> </w:t>
      </w:r>
      <w:r>
        <w:rPr>
          <w:rFonts w:ascii="Arial" w:eastAsia="Arial" w:hAnsi="Arial" w:cs="Arial"/>
          <w:sz w:val="22"/>
          <w:szCs w:val="22"/>
        </w:rPr>
        <w:t xml:space="preserve">The scheme is </w:t>
      </w:r>
      <w:proofErr w:type="gramStart"/>
      <w:r>
        <w:rPr>
          <w:rFonts w:ascii="Arial" w:eastAsia="Arial" w:hAnsi="Arial" w:cs="Arial"/>
          <w:sz w:val="22"/>
          <w:szCs w:val="22"/>
        </w:rPr>
        <w:t>competitive</w:t>
      </w:r>
      <w:proofErr w:type="gramEnd"/>
      <w:r>
        <w:rPr>
          <w:rFonts w:ascii="Arial" w:eastAsia="Arial" w:hAnsi="Arial" w:cs="Arial"/>
          <w:sz w:val="22"/>
          <w:szCs w:val="22"/>
        </w:rPr>
        <w:t xml:space="preserve"> and applications will be judged primarily on the quality and merits </w:t>
      </w:r>
      <w:r>
        <w:rPr>
          <w:rFonts w:ascii="Arial" w:eastAsia="Arial" w:hAnsi="Arial" w:cs="Arial"/>
          <w:sz w:val="22"/>
          <w:szCs w:val="22"/>
        </w:rPr>
        <w:lastRenderedPageBreak/>
        <w:t>of the student, as well as the scientific merit of the project and the experience the student will have whilst working on it. Preference will be given to:</w:t>
      </w:r>
    </w:p>
    <w:p w14:paraId="4893675B" w14:textId="77777777" w:rsidR="00DD3A81" w:rsidRDefault="00000000">
      <w:pPr>
        <w:numPr>
          <w:ilvl w:val="0"/>
          <w:numId w:val="1"/>
        </w:numPr>
        <w:spacing w:after="120"/>
        <w:ind w:left="0" w:hanging="2"/>
        <w:jc w:val="both"/>
        <w:rPr>
          <w:rFonts w:ascii="Arial" w:eastAsia="Arial" w:hAnsi="Arial" w:cs="Arial"/>
          <w:sz w:val="22"/>
          <w:szCs w:val="22"/>
        </w:rPr>
      </w:pPr>
      <w:r>
        <w:rPr>
          <w:rFonts w:ascii="Arial" w:eastAsia="Arial" w:hAnsi="Arial" w:cs="Arial"/>
          <w:sz w:val="22"/>
          <w:szCs w:val="22"/>
        </w:rPr>
        <w:t>Students who are expected to achieve a 1</w:t>
      </w:r>
      <w:r>
        <w:rPr>
          <w:rFonts w:ascii="Arial" w:eastAsia="Arial" w:hAnsi="Arial" w:cs="Arial"/>
          <w:sz w:val="22"/>
          <w:szCs w:val="22"/>
          <w:vertAlign w:val="superscript"/>
        </w:rPr>
        <w:t>st</w:t>
      </w:r>
      <w:r>
        <w:rPr>
          <w:rFonts w:ascii="Arial" w:eastAsia="Arial" w:hAnsi="Arial" w:cs="Arial"/>
          <w:sz w:val="22"/>
          <w:szCs w:val="22"/>
        </w:rPr>
        <w:t xml:space="preserve"> or 2.1 degree, who are considering a career in research, but who have not yet had an opportunity to experience research.</w:t>
      </w:r>
    </w:p>
    <w:p w14:paraId="59F0FB74" w14:textId="77777777" w:rsidR="00DD3A81" w:rsidRDefault="00000000">
      <w:pPr>
        <w:numPr>
          <w:ilvl w:val="0"/>
          <w:numId w:val="1"/>
        </w:numPr>
        <w:spacing w:after="120"/>
        <w:ind w:left="0" w:hanging="2"/>
        <w:jc w:val="both"/>
        <w:rPr>
          <w:rFonts w:ascii="Arial" w:eastAsia="Arial" w:hAnsi="Arial" w:cs="Arial"/>
          <w:sz w:val="22"/>
          <w:szCs w:val="22"/>
        </w:rPr>
      </w:pPr>
      <w:r>
        <w:rPr>
          <w:rFonts w:ascii="Arial" w:eastAsia="Arial" w:hAnsi="Arial" w:cs="Arial"/>
          <w:sz w:val="22"/>
          <w:szCs w:val="22"/>
        </w:rPr>
        <w:t xml:space="preserve">Research projects that have a clearly defined objective which is achievable by the </w:t>
      </w:r>
      <w:r>
        <w:rPr>
          <w:rFonts w:ascii="Arial" w:eastAsia="Arial" w:hAnsi="Arial" w:cs="Arial"/>
          <w:sz w:val="22"/>
          <w:szCs w:val="22"/>
        </w:rPr>
        <w:br/>
        <w:t>student in the time available.</w:t>
      </w:r>
    </w:p>
    <w:p w14:paraId="0CEB727A" w14:textId="77777777" w:rsidR="00DD3A81" w:rsidRDefault="00000000">
      <w:pPr>
        <w:numPr>
          <w:ilvl w:val="0"/>
          <w:numId w:val="1"/>
        </w:numPr>
        <w:spacing w:after="120"/>
        <w:ind w:left="0" w:hanging="2"/>
        <w:jc w:val="both"/>
        <w:rPr>
          <w:rFonts w:ascii="Arial" w:eastAsia="Arial" w:hAnsi="Arial" w:cs="Arial"/>
          <w:sz w:val="22"/>
          <w:szCs w:val="22"/>
        </w:rPr>
      </w:pPr>
      <w:r>
        <w:rPr>
          <w:rFonts w:ascii="Arial" w:eastAsia="Arial" w:hAnsi="Arial" w:cs="Arial"/>
          <w:sz w:val="22"/>
          <w:szCs w:val="22"/>
        </w:rPr>
        <w:t>The educational value of the project and the host laboratory environment.</w:t>
      </w:r>
    </w:p>
    <w:p w14:paraId="3F9363EC" w14:textId="77777777" w:rsidR="00DD3A81" w:rsidRDefault="00000000">
      <w:pPr>
        <w:numPr>
          <w:ilvl w:val="0"/>
          <w:numId w:val="1"/>
        </w:numPr>
        <w:spacing w:after="120"/>
        <w:ind w:left="0" w:hanging="2"/>
        <w:jc w:val="both"/>
        <w:rPr>
          <w:rFonts w:ascii="Arial" w:eastAsia="Arial" w:hAnsi="Arial" w:cs="Arial"/>
          <w:sz w:val="22"/>
          <w:szCs w:val="22"/>
        </w:rPr>
      </w:pPr>
      <w:r>
        <w:rPr>
          <w:rFonts w:ascii="Arial" w:eastAsia="Arial" w:hAnsi="Arial" w:cs="Arial"/>
          <w:sz w:val="22"/>
          <w:szCs w:val="22"/>
        </w:rPr>
        <w:t>Projects which give scope for thought and initiative on the part of the student and do not use the student as a general assistant.</w:t>
      </w:r>
    </w:p>
    <w:p w14:paraId="146D3804" w14:textId="77777777" w:rsidR="00DD3A81" w:rsidRDefault="00000000">
      <w:pPr>
        <w:pStyle w:val="Heading3"/>
        <w:ind w:left="1" w:hanging="3"/>
        <w:jc w:val="both"/>
      </w:pPr>
      <w:r>
        <w:t>How to apply</w:t>
      </w:r>
    </w:p>
    <w:p w14:paraId="3D0ABEC8" w14:textId="7CD87231" w:rsidR="00DD3A81" w:rsidRDefault="00000000">
      <w:pPr>
        <w:ind w:left="0" w:hanging="2"/>
        <w:jc w:val="both"/>
        <w:rPr>
          <w:rFonts w:ascii="Arial" w:eastAsia="Arial" w:hAnsi="Arial" w:cs="Arial"/>
          <w:sz w:val="22"/>
          <w:szCs w:val="22"/>
        </w:rPr>
      </w:pPr>
      <w:r>
        <w:rPr>
          <w:rFonts w:ascii="Arial" w:eastAsia="Arial" w:hAnsi="Arial" w:cs="Arial"/>
          <w:sz w:val="22"/>
          <w:szCs w:val="22"/>
        </w:rPr>
        <w:t xml:space="preserve">The application must be made by the person who will supervise the research and not the student. However, supervisors should discuss the project in detail with the nominated student who should also contribute to the project design. The application form includes space for a CV for the nominated student and a supporting statement from the student’s academic tutor. These should be included in the form and </w:t>
      </w:r>
      <w:r>
        <w:rPr>
          <w:rFonts w:ascii="Arial" w:eastAsia="Arial" w:hAnsi="Arial" w:cs="Arial"/>
          <w:b/>
          <w:sz w:val="22"/>
          <w:szCs w:val="22"/>
        </w:rPr>
        <w:t>not attached separately</w:t>
      </w:r>
      <w:r>
        <w:rPr>
          <w:rFonts w:ascii="Arial" w:eastAsia="Arial" w:hAnsi="Arial" w:cs="Arial"/>
          <w:sz w:val="22"/>
          <w:szCs w:val="22"/>
        </w:rPr>
        <w:t>.  Applications must be on the new form for 202</w:t>
      </w:r>
      <w:r w:rsidR="0044558F">
        <w:rPr>
          <w:rFonts w:ascii="Arial" w:eastAsia="Arial" w:hAnsi="Arial" w:cs="Arial"/>
          <w:sz w:val="22"/>
          <w:szCs w:val="22"/>
        </w:rPr>
        <w:t>4</w:t>
      </w:r>
      <w:r>
        <w:rPr>
          <w:rFonts w:ascii="Arial" w:eastAsia="Arial" w:hAnsi="Arial" w:cs="Arial"/>
          <w:sz w:val="22"/>
          <w:szCs w:val="22"/>
        </w:rPr>
        <w:t xml:space="preserve"> which can be downloaded from our website –</w:t>
      </w:r>
      <w:hyperlink r:id="rId9">
        <w:r>
          <w:rPr>
            <w:rFonts w:ascii="Arial" w:eastAsia="Arial" w:hAnsi="Arial" w:cs="Arial"/>
            <w:color w:val="0000FF"/>
            <w:sz w:val="22"/>
            <w:szCs w:val="22"/>
            <w:u w:val="single"/>
          </w:rPr>
          <w:t>https://www.bsgct.org/undergraduates</w:t>
        </w:r>
      </w:hyperlink>
      <w:r>
        <w:rPr>
          <w:rFonts w:ascii="Arial" w:eastAsia="Arial" w:hAnsi="Arial" w:cs="Arial"/>
          <w:sz w:val="22"/>
          <w:szCs w:val="22"/>
        </w:rPr>
        <w:t>.</w:t>
      </w:r>
    </w:p>
    <w:p w14:paraId="6045C384" w14:textId="77777777" w:rsidR="00DD3A81" w:rsidRDefault="00DD3A81">
      <w:pPr>
        <w:ind w:left="0" w:hanging="2"/>
        <w:jc w:val="both"/>
        <w:rPr>
          <w:rFonts w:ascii="Arial" w:eastAsia="Arial" w:hAnsi="Arial" w:cs="Arial"/>
          <w:sz w:val="22"/>
          <w:szCs w:val="22"/>
        </w:rPr>
      </w:pPr>
    </w:p>
    <w:p w14:paraId="6F6A7604" w14:textId="77777777" w:rsidR="00DD3A81" w:rsidRDefault="00000000">
      <w:pPr>
        <w:ind w:left="0" w:hanging="2"/>
        <w:jc w:val="both"/>
        <w:rPr>
          <w:rFonts w:ascii="Arial" w:eastAsia="Arial" w:hAnsi="Arial" w:cs="Arial"/>
          <w:sz w:val="22"/>
          <w:szCs w:val="22"/>
        </w:rPr>
      </w:pPr>
      <w:r>
        <w:rPr>
          <w:rFonts w:ascii="Arial" w:eastAsia="Arial" w:hAnsi="Arial" w:cs="Arial"/>
          <w:sz w:val="22"/>
          <w:szCs w:val="22"/>
        </w:rPr>
        <w:t xml:space="preserve">Awards are not offered directly to individual researchers but to the institutions to which they belong. </w:t>
      </w:r>
      <w:r>
        <w:rPr>
          <w:rFonts w:ascii="Arial" w:eastAsia="Arial" w:hAnsi="Arial" w:cs="Arial"/>
          <w:b/>
          <w:sz w:val="22"/>
          <w:szCs w:val="22"/>
        </w:rPr>
        <w:t xml:space="preserve">By signing the application form, the Head of Department signifies their willingness for the award to be administered by their </w:t>
      </w:r>
      <w:proofErr w:type="gramStart"/>
      <w:r>
        <w:rPr>
          <w:rFonts w:ascii="Arial" w:eastAsia="Arial" w:hAnsi="Arial" w:cs="Arial"/>
          <w:b/>
          <w:sz w:val="22"/>
          <w:szCs w:val="22"/>
        </w:rPr>
        <w:t>department, and</w:t>
      </w:r>
      <w:proofErr w:type="gramEnd"/>
      <w:r>
        <w:rPr>
          <w:rFonts w:ascii="Arial" w:eastAsia="Arial" w:hAnsi="Arial" w:cs="Arial"/>
          <w:b/>
          <w:sz w:val="22"/>
          <w:szCs w:val="22"/>
        </w:rPr>
        <w:t xml:space="preserve"> agrees to the Conditions of Award</w:t>
      </w:r>
      <w:r>
        <w:rPr>
          <w:rFonts w:ascii="Arial" w:eastAsia="Arial" w:hAnsi="Arial" w:cs="Arial"/>
          <w:sz w:val="22"/>
          <w:szCs w:val="22"/>
        </w:rPr>
        <w:t>. Awards are made formally to the institution on the understanding that the investigation complies with the safety and ethical regulations of the institution and that the institution will ensure that the requirements of all relevant regulatory authorities will be met before the work commences.</w:t>
      </w:r>
    </w:p>
    <w:p w14:paraId="623E7A34" w14:textId="77777777" w:rsidR="00DD3A81" w:rsidRDefault="00DD3A81">
      <w:pPr>
        <w:ind w:left="0" w:hanging="2"/>
        <w:jc w:val="both"/>
        <w:rPr>
          <w:rFonts w:ascii="Arial" w:eastAsia="Arial" w:hAnsi="Arial" w:cs="Arial"/>
          <w:sz w:val="22"/>
          <w:szCs w:val="22"/>
        </w:rPr>
      </w:pPr>
    </w:p>
    <w:p w14:paraId="11E2F562" w14:textId="568B32E3" w:rsidR="00DD3A81" w:rsidRDefault="00000000">
      <w:pPr>
        <w:ind w:left="0" w:hanging="2"/>
        <w:jc w:val="both"/>
        <w:rPr>
          <w:rFonts w:ascii="Arial" w:eastAsia="Arial" w:hAnsi="Arial" w:cs="Arial"/>
          <w:sz w:val="22"/>
          <w:szCs w:val="22"/>
        </w:rPr>
      </w:pPr>
      <w:r>
        <w:rPr>
          <w:rFonts w:ascii="Arial" w:eastAsia="Arial" w:hAnsi="Arial" w:cs="Arial"/>
          <w:sz w:val="22"/>
          <w:szCs w:val="22"/>
        </w:rPr>
        <w:t xml:space="preserve">Completed applications with all the relevant signatures should be sent by email to </w:t>
      </w:r>
      <w:hyperlink r:id="rId10">
        <w:r>
          <w:rPr>
            <w:rFonts w:ascii="Arial" w:eastAsia="Arial" w:hAnsi="Arial" w:cs="Arial"/>
            <w:color w:val="0000FF"/>
            <w:sz w:val="22"/>
            <w:szCs w:val="22"/>
            <w:u w:val="single"/>
          </w:rPr>
          <w:t>board@bsgct.org</w:t>
        </w:r>
      </w:hyperlink>
      <w:r>
        <w:rPr>
          <w:rFonts w:ascii="Arial" w:eastAsia="Arial" w:hAnsi="Arial" w:cs="Arial"/>
          <w:sz w:val="22"/>
          <w:szCs w:val="22"/>
        </w:rPr>
        <w:t xml:space="preserve"> with URB 202</w:t>
      </w:r>
      <w:r w:rsidR="0044558F">
        <w:rPr>
          <w:rFonts w:ascii="Arial" w:eastAsia="Arial" w:hAnsi="Arial" w:cs="Arial"/>
          <w:sz w:val="22"/>
          <w:szCs w:val="22"/>
        </w:rPr>
        <w:t>4</w:t>
      </w:r>
      <w:r>
        <w:rPr>
          <w:rFonts w:ascii="Arial" w:eastAsia="Arial" w:hAnsi="Arial" w:cs="Arial"/>
          <w:sz w:val="22"/>
          <w:szCs w:val="22"/>
        </w:rPr>
        <w:t xml:space="preserve"> in the subject heading.</w:t>
      </w:r>
    </w:p>
    <w:p w14:paraId="4AEC77EF" w14:textId="77777777" w:rsidR="00DD3A81" w:rsidRDefault="00DD3A81">
      <w:pPr>
        <w:ind w:left="0" w:hanging="2"/>
        <w:jc w:val="both"/>
        <w:rPr>
          <w:rFonts w:ascii="Arial" w:eastAsia="Arial" w:hAnsi="Arial" w:cs="Arial"/>
          <w:sz w:val="22"/>
          <w:szCs w:val="22"/>
        </w:rPr>
      </w:pPr>
    </w:p>
    <w:p w14:paraId="6CC1E2AA" w14:textId="77777777" w:rsidR="00DD3A81" w:rsidRDefault="00000000">
      <w:pPr>
        <w:ind w:left="0" w:hanging="2"/>
        <w:jc w:val="both"/>
        <w:rPr>
          <w:rFonts w:ascii="Arial" w:eastAsia="Arial" w:hAnsi="Arial" w:cs="Arial"/>
          <w:sz w:val="22"/>
          <w:szCs w:val="22"/>
        </w:rPr>
      </w:pPr>
      <w:r>
        <w:rPr>
          <w:rFonts w:ascii="Arial" w:eastAsia="Arial" w:hAnsi="Arial" w:cs="Arial"/>
          <w:b/>
          <w:sz w:val="22"/>
          <w:szCs w:val="22"/>
        </w:rPr>
        <w:t xml:space="preserve">The closing date for applications is 5pm Thursday 25th April 2024 </w:t>
      </w:r>
      <w:r>
        <w:rPr>
          <w:rFonts w:ascii="Arial" w:eastAsia="Arial" w:hAnsi="Arial" w:cs="Arial"/>
          <w:sz w:val="22"/>
          <w:szCs w:val="22"/>
        </w:rPr>
        <w:t xml:space="preserve">and all applications will be acknowledged by e-mail to Supervisors by 5pm on Friday 26th April 2024. Decisions will be communicated to Supervisors by 16th May 2024. </w:t>
      </w:r>
    </w:p>
    <w:p w14:paraId="6521819A" w14:textId="77777777" w:rsidR="00DD3A81" w:rsidRDefault="00DD3A81">
      <w:pPr>
        <w:ind w:left="0" w:hanging="2"/>
        <w:jc w:val="both"/>
        <w:rPr>
          <w:rFonts w:ascii="Arial" w:eastAsia="Arial" w:hAnsi="Arial" w:cs="Arial"/>
          <w:color w:val="000000"/>
          <w:sz w:val="22"/>
          <w:szCs w:val="22"/>
        </w:rPr>
      </w:pPr>
    </w:p>
    <w:p w14:paraId="5175D5B9" w14:textId="77777777" w:rsidR="00DD3A81" w:rsidRDefault="00000000">
      <w:pPr>
        <w:ind w:left="0" w:hanging="2"/>
        <w:jc w:val="both"/>
        <w:rPr>
          <w:rFonts w:ascii="Arial" w:eastAsia="Arial" w:hAnsi="Arial" w:cs="Arial"/>
          <w:color w:val="000000"/>
          <w:sz w:val="22"/>
          <w:szCs w:val="22"/>
        </w:rPr>
      </w:pPr>
      <w:r>
        <w:rPr>
          <w:rFonts w:ascii="Arial" w:eastAsia="Arial" w:hAnsi="Arial" w:cs="Arial"/>
          <w:color w:val="000000"/>
          <w:sz w:val="22"/>
          <w:szCs w:val="22"/>
        </w:rPr>
        <w:t>If you</w:t>
      </w:r>
      <w:r>
        <w:rPr>
          <w:rFonts w:ascii="Arial" w:eastAsia="Arial" w:hAnsi="Arial" w:cs="Arial"/>
          <w:b/>
          <w:color w:val="000000"/>
          <w:sz w:val="22"/>
          <w:szCs w:val="22"/>
        </w:rPr>
        <w:t xml:space="preserve"> need to withdraw your application, </w:t>
      </w:r>
      <w:r>
        <w:rPr>
          <w:rFonts w:ascii="Arial" w:eastAsia="Arial" w:hAnsi="Arial" w:cs="Arial"/>
          <w:color w:val="000000"/>
          <w:sz w:val="22"/>
          <w:szCs w:val="22"/>
        </w:rPr>
        <w:t>you must let us know as soon as possible on the email above.  Please bear in mind that we are a small central team and that processing each application takes time.  If you receive alternative funding for your project, please let us know immediately so that, if necessary, we can re-allocate our funds accordingly.  We receive many more good applications than we can fund, so please help us to use our resources in the most effective way.</w:t>
      </w:r>
    </w:p>
    <w:p w14:paraId="3094FFD0" w14:textId="77777777" w:rsidR="00DD3A81" w:rsidRDefault="00DD3A81">
      <w:pPr>
        <w:ind w:left="0" w:hanging="2"/>
        <w:rPr>
          <w:rFonts w:ascii="Arial" w:eastAsia="Arial" w:hAnsi="Arial" w:cs="Arial"/>
          <w:color w:val="000000"/>
          <w:sz w:val="18"/>
          <w:szCs w:val="18"/>
        </w:rPr>
      </w:pPr>
    </w:p>
    <w:p w14:paraId="5F268DBA" w14:textId="77777777" w:rsidR="00DD3A81" w:rsidRDefault="00000000">
      <w:pPr>
        <w:ind w:left="0" w:hanging="2"/>
        <w:jc w:val="both"/>
        <w:rPr>
          <w:rFonts w:ascii="Arial" w:eastAsia="Arial" w:hAnsi="Arial" w:cs="Arial"/>
          <w:sz w:val="22"/>
          <w:szCs w:val="22"/>
        </w:rPr>
      </w:pPr>
      <w:r>
        <w:rPr>
          <w:rFonts w:ascii="Arial" w:eastAsia="Arial" w:hAnsi="Arial" w:cs="Arial"/>
          <w:b/>
          <w:sz w:val="22"/>
          <w:szCs w:val="22"/>
        </w:rPr>
        <w:t xml:space="preserve">Further copies of these guidelines and application forms can be downloaded from our website: </w:t>
      </w:r>
      <w:hyperlink r:id="rId11">
        <w:r>
          <w:rPr>
            <w:rFonts w:ascii="Arial" w:eastAsia="Arial" w:hAnsi="Arial" w:cs="Arial"/>
            <w:b/>
            <w:color w:val="0000FF"/>
            <w:sz w:val="22"/>
            <w:szCs w:val="22"/>
            <w:u w:val="single"/>
          </w:rPr>
          <w:t>www.bsgct.org</w:t>
        </w:r>
      </w:hyperlink>
      <w:r>
        <w:rPr>
          <w:rFonts w:ascii="Arial" w:eastAsia="Arial" w:hAnsi="Arial" w:cs="Arial"/>
          <w:b/>
          <w:sz w:val="22"/>
          <w:szCs w:val="22"/>
        </w:rPr>
        <w:t>.</w:t>
      </w:r>
    </w:p>
    <w:p w14:paraId="6517F721" w14:textId="77777777" w:rsidR="00DD3A81" w:rsidRDefault="00DD3A81">
      <w:pPr>
        <w:ind w:left="0" w:hanging="2"/>
      </w:pPr>
    </w:p>
    <w:sectPr w:rsidR="00DD3A81">
      <w:headerReference w:type="even" r:id="rId12"/>
      <w:headerReference w:type="default" r:id="rId13"/>
      <w:footerReference w:type="default" r:id="rId14"/>
      <w:headerReference w:type="first" r:id="rId15"/>
      <w:pgSz w:w="11906" w:h="16838"/>
      <w:pgMar w:top="1440" w:right="1440" w:bottom="1440" w:left="1440" w:header="708"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FC6D" w14:textId="77777777" w:rsidR="00617247" w:rsidRDefault="00617247">
      <w:pPr>
        <w:spacing w:line="240" w:lineRule="auto"/>
        <w:ind w:left="0" w:hanging="2"/>
      </w:pPr>
      <w:r>
        <w:separator/>
      </w:r>
    </w:p>
  </w:endnote>
  <w:endnote w:type="continuationSeparator" w:id="0">
    <w:p w14:paraId="2D57E688" w14:textId="77777777" w:rsidR="00617247" w:rsidRDefault="006172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F82" w14:textId="77777777" w:rsidR="00DD3A81" w:rsidRDefault="00000000">
    <w:pPr>
      <w:pStyle w:val="Heading2"/>
      <w:spacing w:before="0" w:after="0"/>
      <w:ind w:left="0" w:hanging="2"/>
      <w:rPr>
        <w:b w:val="0"/>
        <w:i w:val="0"/>
        <w:sz w:val="18"/>
        <w:szCs w:val="18"/>
      </w:rPr>
    </w:pPr>
    <w:r>
      <w:rPr>
        <w:b w:val="0"/>
        <w:i w:val="0"/>
        <w:sz w:val="18"/>
        <w:szCs w:val="18"/>
      </w:rPr>
      <w:t>BSGCT Undergraduate Research Bursaries (Gene and Cell Therapy) Guidelines 2024</w:t>
    </w:r>
  </w:p>
  <w:p w14:paraId="788EADCB" w14:textId="77777777" w:rsidR="00DD3A81" w:rsidRDefault="00DD3A81">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B1AD" w14:textId="77777777" w:rsidR="00617247" w:rsidRDefault="00617247">
      <w:pPr>
        <w:spacing w:line="240" w:lineRule="auto"/>
        <w:ind w:left="0" w:hanging="2"/>
      </w:pPr>
      <w:r>
        <w:separator/>
      </w:r>
    </w:p>
  </w:footnote>
  <w:footnote w:type="continuationSeparator" w:id="0">
    <w:p w14:paraId="7E62FCC5" w14:textId="77777777" w:rsidR="00617247" w:rsidRDefault="0061724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0A72" w14:textId="77777777" w:rsidR="00DD3A81" w:rsidRDefault="00617247">
    <w:pPr>
      <w:pBdr>
        <w:top w:val="nil"/>
        <w:left w:val="nil"/>
        <w:bottom w:val="nil"/>
        <w:right w:val="nil"/>
        <w:between w:val="nil"/>
      </w:pBdr>
      <w:spacing w:line="240" w:lineRule="auto"/>
      <w:ind w:left="0" w:hanging="2"/>
      <w:rPr>
        <w:color w:val="000000"/>
      </w:rPr>
    </w:pPr>
    <w:r>
      <w:rPr>
        <w:color w:val="000000"/>
      </w:rPr>
      <w:pict w14:anchorId="6B5E2B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alt="" style="position:absolute;margin-left:0;margin-top:0;width:454pt;height:181pt;rotation:315;z-index:-251657728;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BSG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8D19" w14:textId="77777777" w:rsidR="00DD3A81" w:rsidRDefault="00617247">
    <w:pPr>
      <w:pBdr>
        <w:top w:val="nil"/>
        <w:left w:val="nil"/>
        <w:bottom w:val="nil"/>
        <w:right w:val="nil"/>
        <w:between w:val="nil"/>
      </w:pBdr>
      <w:spacing w:line="240" w:lineRule="auto"/>
      <w:ind w:left="0" w:hanging="2"/>
      <w:rPr>
        <w:color w:val="000000"/>
      </w:rPr>
    </w:pPr>
    <w:r>
      <w:rPr>
        <w:color w:val="000000"/>
      </w:rPr>
      <w:pict w14:anchorId="4B4CE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54pt;height:181pt;rotation:315;z-index:-251659776;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BSGCT"/>
          <w10:wrap anchorx="margin" anchory="margin"/>
        </v:shape>
      </w:pict>
    </w:r>
    <w:r w:rsidR="00000000">
      <w:rPr>
        <w:noProof/>
        <w:color w:val="000000"/>
      </w:rPr>
      <w:drawing>
        <wp:inline distT="0" distB="0" distL="114300" distR="114300" wp14:anchorId="555EDE00" wp14:editId="3377811D">
          <wp:extent cx="553720" cy="95440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3720" cy="954405"/>
                  </a:xfrm>
                  <a:prstGeom prst="rect">
                    <a:avLst/>
                  </a:prstGeom>
                  <a:ln/>
                </pic:spPr>
              </pic:pic>
            </a:graphicData>
          </a:graphic>
        </wp:inline>
      </w:drawing>
    </w:r>
    <w:r w:rsidR="00000000">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5375" w14:textId="77777777" w:rsidR="00DD3A81" w:rsidRDefault="00617247">
    <w:pPr>
      <w:pBdr>
        <w:top w:val="nil"/>
        <w:left w:val="nil"/>
        <w:bottom w:val="nil"/>
        <w:right w:val="nil"/>
        <w:between w:val="nil"/>
      </w:pBdr>
      <w:spacing w:line="240" w:lineRule="auto"/>
      <w:ind w:left="0" w:hanging="2"/>
      <w:rPr>
        <w:color w:val="000000"/>
      </w:rPr>
    </w:pPr>
    <w:r>
      <w:rPr>
        <w:color w:val="000000"/>
      </w:rPr>
      <w:pict w14:anchorId="0AA10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454pt;height:181pt;rotation:315;z-index:-251658752;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BSG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3F9"/>
    <w:multiLevelType w:val="multilevel"/>
    <w:tmpl w:val="2520AB3A"/>
    <w:lvl w:ilvl="0">
      <w:start w:val="1"/>
      <w:numFmt w:val="bullet"/>
      <w:lvlText w:val="●"/>
      <w:lvlJc w:val="left"/>
      <w:pPr>
        <w:ind w:left="624"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EFA1921"/>
    <w:multiLevelType w:val="multilevel"/>
    <w:tmpl w:val="6BC85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43858513">
    <w:abstractNumId w:val="0"/>
  </w:num>
  <w:num w:numId="2" w16cid:durableId="1857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81"/>
    <w:rsid w:val="0044558F"/>
    <w:rsid w:val="00617247"/>
    <w:rsid w:val="00DD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478D2"/>
  <w15:docId w15:val="{E7DDFF26-6829-8F46-80E3-2A609903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hAnsi="Arial"/>
      <w:b/>
      <w:bCs/>
      <w:i/>
      <w:iCs/>
      <w:sz w:val="28"/>
      <w:szCs w:val="28"/>
      <w:lang/>
    </w:rPr>
  </w:style>
  <w:style w:type="paragraph" w:styleId="Heading3">
    <w:name w:val="heading 3"/>
    <w:basedOn w:val="Normal"/>
    <w:next w:val="Normal"/>
    <w:uiPriority w:val="9"/>
    <w:unhideWhenUsed/>
    <w:qFormat/>
    <w:pPr>
      <w:keepNext/>
      <w:spacing w:before="240" w:after="60"/>
      <w:outlineLvl w:val="2"/>
    </w:pPr>
    <w:rPr>
      <w:rFonts w:ascii="Arial" w:hAnsi="Arial"/>
      <w:b/>
      <w:bCs/>
      <w:sz w:val="26"/>
      <w:szCs w:val="26"/>
      <w:lang/>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rPr>
      <w:b/>
      <w:bCs/>
      <w:i/>
      <w:iCs/>
      <w:w w:val="100"/>
      <w:position w:val="-1"/>
      <w:sz w:val="28"/>
      <w:szCs w:val="28"/>
      <w:effect w:val="none"/>
      <w:vertAlign w:val="baseline"/>
      <w:cs w:val="0"/>
      <w:em w:val="none"/>
    </w:rPr>
  </w:style>
  <w:style w:type="character" w:customStyle="1" w:styleId="Heading3Char">
    <w:name w:val="Heading 3 Char"/>
    <w:rPr>
      <w:b/>
      <w:bCs/>
      <w:w w:val="100"/>
      <w:position w:val="-1"/>
      <w:sz w:val="26"/>
      <w:szCs w:val="2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qFormat/>
    <w:rPr>
      <w:lang/>
    </w:rPr>
  </w:style>
  <w:style w:type="character" w:customStyle="1" w:styleId="HeaderChar">
    <w:name w:val="Header Char"/>
    <w:rPr>
      <w:rFonts w:ascii="Times" w:eastAsia="Times" w:hAnsi="Times" w:cs="Times New Roman"/>
      <w:w w:val="100"/>
      <w:position w:val="-1"/>
      <w:sz w:val="24"/>
      <w:szCs w:val="20"/>
      <w:effect w:val="none"/>
      <w:vertAlign w:val="baseline"/>
      <w:cs w:val="0"/>
      <w:em w:val="none"/>
    </w:rPr>
  </w:style>
  <w:style w:type="paragraph" w:styleId="Footer">
    <w:name w:val="footer"/>
    <w:basedOn w:val="Normal"/>
    <w:qFormat/>
    <w:rPr>
      <w:lang/>
    </w:rPr>
  </w:style>
  <w:style w:type="character" w:customStyle="1" w:styleId="FooterChar">
    <w:name w:val="Footer Char"/>
    <w:rPr>
      <w:rFonts w:ascii="Times" w:eastAsia="Times" w:hAnsi="Times" w:cs="Times New Roman"/>
      <w:w w:val="100"/>
      <w:position w:val="-1"/>
      <w:sz w:val="24"/>
      <w:szCs w:val="20"/>
      <w:effect w:val="none"/>
      <w:vertAlign w:val="baseline"/>
      <w:cs w:val="0"/>
      <w:em w:val="none"/>
    </w:rPr>
  </w:style>
  <w:style w:type="paragraph" w:styleId="BalloonText">
    <w:name w:val="Balloon Text"/>
    <w:basedOn w:val="Normal"/>
    <w:qFormat/>
    <w:rPr>
      <w:rFonts w:ascii="Tahoma" w:hAnsi="Tahoma"/>
      <w:sz w:val="16"/>
      <w:szCs w:val="16"/>
      <w:lang/>
    </w:rPr>
  </w:style>
  <w:style w:type="character" w:customStyle="1" w:styleId="BalloonTextChar">
    <w:name w:val="Balloon Text Char"/>
    <w:rPr>
      <w:rFonts w:ascii="Tahoma" w:eastAsia="Times"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bsgct.org%2Fundergraduates&amp;data=05%7C01%7CTeijeiraCrespoA%40cardiff.ac.uk%7C58224a92cc804005078408db05ce7607%7Cbdb74b3095684856bdbf06759778fcbc%7C1%7C0%7C638110156892627244%7CUnknown%7CTWFpbGZsb3d8eyJWIjoiMC4wLjAwMDAiLCJQIjoiV2luMzIiLCJBTiI6Ik1haWwiLCJXVCI6Mn0%3D%7C3000%7C%7C%7C&amp;sdata=%2FPodC1DCt21kq9g9%2BoIOgdVpmAJ1OZQrKIrYULh7JhA%3D&amp;reserved=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gct.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oard@bsgct.org"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bsgct.org%2Fundergraduates&amp;data=05%7C01%7CTeijeiraCrespoA%40cardiff.ac.uk%7C58224a92cc804005078408db05ce7607%7Cbdb74b3095684856bdbf06759778fcbc%7C1%7C0%7C638110156892627244%7CUnknown%7CTWFpbGZsb3d8eyJWIjoiMC4wLjAwMDAiLCJQIjoiV2luMzIiLCJBTiI6Ik1haWwiLCJXVCI6Mn0%3D%7C3000%7C%7C%7C&amp;sdata=%2FPodC1DCt21kq9g9%2BoIOgdVpmAJ1OZQrKIrYULh7JhA%3D&amp;reserved=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APa4cHH0d67OZ2T5NHOGtdRDw==">CgMxLjA4AHIhMXdQMVF3VnZzcW1wUWExRERfNEF5YnQxQlc4aVcwb0Ri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879</Words>
  <Characters>5135</Characters>
  <Application>Microsoft Office Word</Application>
  <DocSecurity>0</DocSecurity>
  <Lines>128</Lines>
  <Paragraphs>79</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ssaunders</dc:creator>
  <cp:lastModifiedBy>Gil Garzon, Monica Rebeca</cp:lastModifiedBy>
  <cp:revision>2</cp:revision>
  <dcterms:created xsi:type="dcterms:W3CDTF">2023-02-20T09:28:00Z</dcterms:created>
  <dcterms:modified xsi:type="dcterms:W3CDTF">2024-03-26T15:46:00Z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0x010100EF3608D64175E54195AB4EE6371DF9FA</vt:lpwstr>
  </property>
</Properties>
</file>